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EBE52" w14:textId="77777777" w:rsidR="00271407" w:rsidRPr="00271407" w:rsidRDefault="00271407" w:rsidP="00271407">
      <w:pPr>
        <w:rPr>
          <w:b/>
          <w:bCs/>
        </w:rPr>
      </w:pPr>
      <w:r w:rsidRPr="00271407">
        <w:rPr>
          <w:b/>
          <w:bCs/>
        </w:rPr>
        <w:t>Sisi Gelap Pesantren: Ketika Relasi Kuasa Menyandera Keberkahan</w:t>
      </w:r>
    </w:p>
    <w:p w14:paraId="2DF8282B" w14:textId="77777777" w:rsidR="00271407" w:rsidRPr="00271407" w:rsidRDefault="00271407" w:rsidP="00271407">
      <w:r w:rsidRPr="00271407">
        <w:rPr>
          <w:b/>
          <w:bCs/>
        </w:rPr>
        <w:t>Oleh: [Penulis/Analisis Jurnalistik]</w:t>
      </w:r>
    </w:p>
    <w:p w14:paraId="2429C9A6" w14:textId="77777777" w:rsidR="00271407" w:rsidRPr="00271407" w:rsidRDefault="00271407" w:rsidP="00271407">
      <w:r w:rsidRPr="00271407">
        <w:t>Dalam beberapa tahun terakhir, citra ideal Pondok Pesantren—sebagai benteng moral, pusat peradaban Islam, dan tempat pembentukan karakter—perlahan terkikis oleh serangkaian laporan dan video viral yang mengungkap kasus-kasus kekerasan dan pelecehan. Institusi yang seharusnya menjadi zona aman bagi para santri kini menghadapi krisis kepercayaan publik. Pertanyaan mendasar pun muncul: mengapa hal ini terjadi, dan mengapa baru sekarang kasus-kasus ini terkuak ke permukaan?</w:t>
      </w:r>
    </w:p>
    <w:p w14:paraId="7229987A" w14:textId="77777777" w:rsidR="00271407" w:rsidRPr="00271407" w:rsidRDefault="00271407" w:rsidP="00271407">
      <w:r w:rsidRPr="00271407">
        <w:t>Analisis mendalam menunjukkan bahwa fenomena "sisi gelap" pesantren adalah hasil dari persinggungan kompleks antara kelemahan struktural, penyalahgunaan otoritas, dan interpretasi keagamaan yang disalahgunakan.</w:t>
      </w:r>
    </w:p>
    <w:p w14:paraId="40CB82D8" w14:textId="77777777" w:rsidR="00271407" w:rsidRPr="00271407" w:rsidRDefault="00271407" w:rsidP="00271407">
      <w:pPr>
        <w:rPr>
          <w:b/>
          <w:bCs/>
        </w:rPr>
      </w:pPr>
      <w:r w:rsidRPr="00271407">
        <w:rPr>
          <w:b/>
          <w:bCs/>
        </w:rPr>
        <w:t>Tumbuh Suburnya Relasi Kuasa yang Timpang</w:t>
      </w:r>
    </w:p>
    <w:p w14:paraId="5A67827E" w14:textId="77777777" w:rsidR="00271407" w:rsidRPr="00271407" w:rsidRDefault="00271407" w:rsidP="00271407">
      <w:r w:rsidRPr="00271407">
        <w:t xml:space="preserve">Akar utama masalah ini terletak pada struktur kekuasaan internal pesantren yang sangat terpusat pada figur Kiai atau pengasuh. Dalam tradisi pesantren, Kiai tidak hanya berfungsi sebagai guru, tetapi juga sebagai figur ayah, panutan spiritual, dan bahkan penentu keberkahan ilmu seorang santri. Kepatuhan kepada Kiai (yang dikenal sebagai </w:t>
      </w:r>
      <w:r w:rsidRPr="00271407">
        <w:rPr>
          <w:b/>
          <w:bCs/>
        </w:rPr>
        <w:t>taat</w:t>
      </w:r>
      <w:r w:rsidRPr="00271407">
        <w:t>) dianggap sebagai ibadah dan jalan utama menuju kesuksesan spiritual dan akademik.</w:t>
      </w:r>
    </w:p>
    <w:p w14:paraId="5005F670" w14:textId="77777777" w:rsidR="00271407" w:rsidRPr="00271407" w:rsidRDefault="00271407" w:rsidP="00271407">
      <w:r w:rsidRPr="00271407">
        <w:t xml:space="preserve">Sayangnya, pemujaan yang intens dan ketaatan yang nyaris tanpa batas ini seringkali melahirkan apa yang disebut sosiolog sebagai </w:t>
      </w:r>
      <w:r w:rsidRPr="00271407">
        <w:rPr>
          <w:b/>
          <w:bCs/>
        </w:rPr>
        <w:t>relasi kuasa yang timpang</w:t>
      </w:r>
      <w:r w:rsidRPr="00271407">
        <w:t xml:space="preserve"> (</w:t>
      </w:r>
      <w:r w:rsidRPr="00271407">
        <w:rPr>
          <w:i/>
          <w:iCs/>
        </w:rPr>
        <w:t>power imbalance</w:t>
      </w:r>
      <w:r w:rsidRPr="00271407">
        <w:t>). Kiai, ustadz, atau bahkan senior santri yang ditugaskan sebagai pengurus memiliki otoritas yang jauh melampaui kemampuan santri untuk menolak atau melawan.</w:t>
      </w:r>
    </w:p>
    <w:p w14:paraId="0FCBF84A" w14:textId="77777777" w:rsidR="00271407" w:rsidRPr="00271407" w:rsidRDefault="00271407" w:rsidP="00271407">
      <w:r w:rsidRPr="00271407">
        <w:t xml:space="preserve">Ketika relasi ini disalahgunakan oleh oknum, lingkungan pesantren yang seharusnya suci berubah menjadi rentan. Relasi kuasa tersebut menjadi alat dominasi, baik untuk kekerasan fisik (atas nama disiplin) maupun, yang paling tragis, kekerasan seksual. Korban, yang berada dalam posisi tawar yang lemah, kerap dihadapkan pada dilema moral yang menghancurkan: melawan berarti ingkar pada guru, berisiko kehilangan ilmu dan </w:t>
      </w:r>
      <w:r w:rsidRPr="00271407">
        <w:rPr>
          <w:i/>
          <w:iCs/>
        </w:rPr>
        <w:t>barokah</w:t>
      </w:r>
      <w:r w:rsidRPr="00271407">
        <w:t>, atau bahkan dikucilkan.</w:t>
      </w:r>
    </w:p>
    <w:p w14:paraId="1F00DAF1" w14:textId="77777777" w:rsidR="00271407" w:rsidRPr="00271407" w:rsidRDefault="00271407" w:rsidP="00271407">
      <w:pPr>
        <w:rPr>
          <w:b/>
          <w:bCs/>
        </w:rPr>
      </w:pPr>
      <w:r w:rsidRPr="00271407">
        <w:rPr>
          <w:b/>
          <w:bCs/>
        </w:rPr>
        <w:t>Doktrin Agama sebagai Alat Pembungkam</w:t>
      </w:r>
    </w:p>
    <w:p w14:paraId="7EDC21E5" w14:textId="77777777" w:rsidR="00271407" w:rsidRPr="00271407" w:rsidRDefault="00271407" w:rsidP="00271407">
      <w:r w:rsidRPr="00271407">
        <w:t>Fenomena "menerima perlakuan apa saja" yang tampak pada beberapa korban tidak muncul dari kekosongan, melainkan dari internalisasi ajaran yang diinterpretasikan secara dogmatis. Meskipun Islam menolak segala bentuk kekerasan, konsep-konsep keagamaan tertentu dimanipulasi untuk membungkam korban:</w:t>
      </w:r>
    </w:p>
    <w:p w14:paraId="5E0D3FEE" w14:textId="77777777" w:rsidR="00271407" w:rsidRPr="00271407" w:rsidRDefault="00271407" w:rsidP="00271407">
      <w:pPr>
        <w:numPr>
          <w:ilvl w:val="0"/>
          <w:numId w:val="1"/>
        </w:numPr>
      </w:pPr>
      <w:r w:rsidRPr="00271407">
        <w:rPr>
          <w:b/>
          <w:bCs/>
        </w:rPr>
        <w:t xml:space="preserve">Manipulasi Konsep </w:t>
      </w:r>
      <w:r w:rsidRPr="00271407">
        <w:rPr>
          <w:b/>
          <w:bCs/>
          <w:i/>
          <w:iCs/>
        </w:rPr>
        <w:t>Barokah</w:t>
      </w:r>
      <w:r w:rsidRPr="00271407">
        <w:rPr>
          <w:b/>
          <w:bCs/>
        </w:rPr>
        <w:t>:</w:t>
      </w:r>
      <w:r w:rsidRPr="00271407">
        <w:t xml:space="preserve"> Ancaman paling ampuh di pesantren bukanlah hukuman fisik, melainkan hilangnya </w:t>
      </w:r>
      <w:r w:rsidRPr="00271407">
        <w:rPr>
          <w:i/>
          <w:iCs/>
        </w:rPr>
        <w:t>barokah</w:t>
      </w:r>
      <w:r w:rsidRPr="00271407">
        <w:t>. Santri didoktrin bahwa jika mereka membuka "aib" (kesalahan) guru atau lembaga, ilmu mereka akan sia-sia. Hal ini membuat korban memilih diam dan "mengubur" trauma demi menjaga keberkahan ilmu yang telah mereka perjuangkan.</w:t>
      </w:r>
    </w:p>
    <w:p w14:paraId="3D5A8379" w14:textId="77777777" w:rsidR="00271407" w:rsidRPr="00271407" w:rsidRDefault="00271407" w:rsidP="00271407">
      <w:pPr>
        <w:numPr>
          <w:ilvl w:val="0"/>
          <w:numId w:val="1"/>
        </w:numPr>
      </w:pPr>
      <w:r w:rsidRPr="00271407">
        <w:rPr>
          <w:b/>
          <w:bCs/>
        </w:rPr>
        <w:t>Kewajiban Menjaga Aib:</w:t>
      </w:r>
      <w:r w:rsidRPr="00271407">
        <w:t xml:space="preserve"> Budaya untuk menjaga citra suci pesantren dan figur Kiai membuat manajemen internal cenderung menutupi atau menyelesaikan kasus secara kekeluargaan. Pelaporan dianggap sebagai tindakan yang mencoreng nama baik agama dan lembaga.</w:t>
      </w:r>
    </w:p>
    <w:p w14:paraId="54729604" w14:textId="77777777" w:rsidR="00271407" w:rsidRPr="00271407" w:rsidRDefault="00271407" w:rsidP="00271407">
      <w:pPr>
        <w:numPr>
          <w:ilvl w:val="0"/>
          <w:numId w:val="1"/>
        </w:numPr>
      </w:pPr>
      <w:r w:rsidRPr="00271407">
        <w:rPr>
          <w:b/>
          <w:bCs/>
        </w:rPr>
        <w:lastRenderedPageBreak/>
        <w:t>Penggunaan Dalil sebagai Pembenaran:</w:t>
      </w:r>
      <w:r w:rsidRPr="00271407">
        <w:t xml:space="preserve"> Dalam kasus pelecehan, oknum pelaku bahkan dapat menggunakan dalil atau ajaran agama yang diputarbalikkan untuk meyakinkan korban bahwa perlakuan tersebut adalah bentuk "bimbingan" atau "kehormatan," memanfaatkan keimanan santri yang kuat.</w:t>
      </w:r>
    </w:p>
    <w:p w14:paraId="4AF20838" w14:textId="77777777" w:rsidR="00271407" w:rsidRPr="00271407" w:rsidRDefault="00271407" w:rsidP="00271407">
      <w:r w:rsidRPr="00271407">
        <w:t>Dengan demikian, ajaran keagamaan, yang seharusnya menjadi sumber perlindungan dan keadilan, justru disandera menjadi sistem yang melanggengkan kekejaman dan menumbuhkan kepasrahan yang berbahaya pada diri santri.</w:t>
      </w:r>
    </w:p>
    <w:p w14:paraId="42323458" w14:textId="77777777" w:rsidR="00271407" w:rsidRPr="00271407" w:rsidRDefault="00271407" w:rsidP="00271407">
      <w:pPr>
        <w:rPr>
          <w:b/>
          <w:bCs/>
        </w:rPr>
      </w:pPr>
      <w:r w:rsidRPr="00271407">
        <w:rPr>
          <w:b/>
          <w:bCs/>
        </w:rPr>
        <w:t>Retaknya Tembok Penutup: Peran Digital dan Keterbukaan</w:t>
      </w:r>
    </w:p>
    <w:p w14:paraId="1B0EF24E" w14:textId="77777777" w:rsidR="00271407" w:rsidRPr="00271407" w:rsidRDefault="00271407" w:rsidP="00271407">
      <w:r w:rsidRPr="00271407">
        <w:t>Jika masalah struktural ini sudah lama ada, mengapa kasus-kasus ini baru menjadi konsumsi publik secara masif belakangan ini? Jawabannya terletak pada retaknya "tembok" yang selama ini menutupi lingkungan pesantren.</w:t>
      </w:r>
    </w:p>
    <w:p w14:paraId="2772681D" w14:textId="77777777" w:rsidR="00271407" w:rsidRPr="00271407" w:rsidRDefault="00271407" w:rsidP="00271407">
      <w:r w:rsidRPr="00271407">
        <w:t xml:space="preserve">Pertama, </w:t>
      </w:r>
      <w:r w:rsidRPr="00271407">
        <w:rPr>
          <w:b/>
          <w:bCs/>
        </w:rPr>
        <w:t>Teknologi dan Media Sosial</w:t>
      </w:r>
      <w:r w:rsidRPr="00271407">
        <w:t xml:space="preserve"> telah memberdayakan korban. Generasi santri saat ini memiliki akses ke internet, yang memungkinkan mereka untuk bersuara di luar jalur resmi lembaga. Video atau unggahan tentang kekerasan memiliki potensi viralitas yang tinggi, memaksa kasus yang awalnya ditutup-tutupi menjadi sorotan nasional.</w:t>
      </w:r>
    </w:p>
    <w:p w14:paraId="6B10E8D7" w14:textId="77777777" w:rsidR="00271407" w:rsidRPr="00271407" w:rsidRDefault="00271407" w:rsidP="00271407">
      <w:r w:rsidRPr="00271407">
        <w:t xml:space="preserve">Kedua, </w:t>
      </w:r>
      <w:r w:rsidRPr="00271407">
        <w:rPr>
          <w:b/>
          <w:bCs/>
        </w:rPr>
        <w:t>Kesadaran Publik dan Aktivisme</w:t>
      </w:r>
      <w:r w:rsidRPr="00271407">
        <w:t xml:space="preserve"> meningkat. Lembaga-lembaga perlindungan anak dan aktivis kesetaraan gender semakin vokal dalam mendesak penanganan kasus kekerasan seksual di lembaga pendidikan, termasuk pesantren. Tekanan dari luar ini memaksa aparat penegak hukum dan Kementerian Agama untuk bertindak lebih tegas.</w:t>
      </w:r>
    </w:p>
    <w:p w14:paraId="02C164D0" w14:textId="77777777" w:rsidR="00271407" w:rsidRPr="00271407" w:rsidRDefault="00271407" w:rsidP="00271407">
      <w:r w:rsidRPr="00271407">
        <w:t xml:space="preserve">Ketiga, </w:t>
      </w:r>
      <w:r w:rsidRPr="00271407">
        <w:rPr>
          <w:b/>
          <w:bCs/>
        </w:rPr>
        <w:t>Transformasi Perspektif Keadilan.</w:t>
      </w:r>
      <w:r w:rsidRPr="00271407">
        <w:t xml:space="preserve"> Publik mulai menyadari bahwa ajaran agama sejati tidak membenarkan kekerasan. Keadilan harus ditegakkan, bahkan terhadap figur yang paling dihormati sekalipun. Hal ini mendorong keberanian alumni dan santri untuk angkat bicara, menunjukkan bahwa mencari keadilan lebih mulia daripada membiarkan kejahatan terulang.</w:t>
      </w:r>
    </w:p>
    <w:p w14:paraId="504537D5" w14:textId="77777777" w:rsidR="00271407" w:rsidRDefault="00271407" w:rsidP="00271407">
      <w:r w:rsidRPr="00271407">
        <w:t xml:space="preserve">Kasus-kasus "sisi gelap" ini menjadi alarm keras bagi seluruh pemangku kepentingan. Untuk mengembalikan marwah pesantren, diperlukan reformasi mendasar, mulai dari penetapan mekanisme pengawasan internal yang transparan, pelatihan wajib bagi pengasuh mengenai disiplin positif dan isu kekerasan seksual, hingga penguatan hak-hak santri. Ketaatan spiritual harus berjalan beriringan dengan akuntabilitas hukum, memastikan bahwa </w:t>
      </w:r>
      <w:r w:rsidRPr="00271407">
        <w:rPr>
          <w:i/>
          <w:iCs/>
        </w:rPr>
        <w:t>barokah</w:t>
      </w:r>
      <w:r w:rsidRPr="00271407">
        <w:t xml:space="preserve"> tidak lagi menjadi perisai bagi pelaku kejahatan.</w:t>
      </w:r>
    </w:p>
    <w:p w14:paraId="49BAE30C" w14:textId="77777777" w:rsidR="00271407" w:rsidRDefault="00271407"/>
    <w:p w14:paraId="50C95098" w14:textId="77777777" w:rsidR="00F242B3" w:rsidRDefault="00F242B3"/>
    <w:p w14:paraId="55416C00" w14:textId="77777777" w:rsidR="00271407" w:rsidRDefault="00271407"/>
    <w:p w14:paraId="2BBCA186" w14:textId="77777777" w:rsidR="00271407" w:rsidRDefault="00271407"/>
    <w:p w14:paraId="10C7917C" w14:textId="77777777" w:rsidR="00271407" w:rsidRDefault="00271407"/>
    <w:p w14:paraId="4DF15013" w14:textId="77777777" w:rsidR="00271407" w:rsidRDefault="00271407"/>
    <w:p w14:paraId="4CD11BB7" w14:textId="77777777" w:rsidR="00271407" w:rsidRDefault="00271407"/>
    <w:p w14:paraId="49DCB538" w14:textId="77777777" w:rsidR="00271407" w:rsidRDefault="00271407"/>
    <w:p w14:paraId="0F727050" w14:textId="77777777" w:rsidR="001531B4" w:rsidRDefault="001531B4" w:rsidP="001531B4">
      <w:pPr>
        <w:rPr>
          <w:b/>
          <w:bCs/>
        </w:rPr>
      </w:pPr>
      <w:r w:rsidRPr="001531B4">
        <w:rPr>
          <w:b/>
          <w:bCs/>
        </w:rPr>
        <w:lastRenderedPageBreak/>
        <w:t>Menelisik Relasi Kuasa dalam Pesantren: Antara Spiritualitas dan Perlindungan Santri</w:t>
      </w:r>
    </w:p>
    <w:p w14:paraId="43B71774" w14:textId="77777777" w:rsidR="001531B4" w:rsidRPr="001531B4" w:rsidRDefault="001531B4" w:rsidP="001531B4"/>
    <w:p w14:paraId="344B7046" w14:textId="77777777" w:rsidR="001531B4" w:rsidRPr="001531B4" w:rsidRDefault="001531B4" w:rsidP="001531B4">
      <w:r w:rsidRPr="001531B4">
        <w:t>Pesantren selama ini dikenal sebagai benteng moral, pusat peradaban Islam, dan tempat pembentukan karakter generasi muda. Sebagian besar pesantren menjalankan peran mulia tersebut dengan penuh tanggung jawab. Namun, dalam beberapa tahun terakhir, sejumlah kasus kekerasan dan pelecehan yang mulai terungkap ke publik memunculkan tantangan serius terhadap citra dan kepercayaan masyarakat terhadap lembaga ini. Hal ini menimbulkan pertanyaan penting: mengapa masalah ini baru mencuat ke permukaan, dan bagaimana institusi yang selama ini diagungkan bisa mengalami persoalan demikian?</w:t>
      </w:r>
    </w:p>
    <w:p w14:paraId="4D1F04A5" w14:textId="77777777" w:rsidR="001531B4" w:rsidRPr="001531B4" w:rsidRDefault="001531B4" w:rsidP="001531B4">
      <w:r w:rsidRPr="001531B4">
        <w:t>Analisis mendalam menunjukkan bahwa isu ini merupakan hasil dari interaksi kompleks antara kelemahan struktural, penyalahgunaan otoritas, dan interpretasi ajaran agama yang kadang disalahpahami. Memahami fenomena ini penting untuk memastikan pesantren tetap menjadi ruang aman yang memuliakan nilai-nilai spiritual dan keadilan.</w:t>
      </w:r>
    </w:p>
    <w:p w14:paraId="3A021844" w14:textId="77777777" w:rsidR="001531B4" w:rsidRPr="001531B4" w:rsidRDefault="001531B4" w:rsidP="001531B4">
      <w:r w:rsidRPr="001531B4">
        <w:rPr>
          <w:b/>
          <w:bCs/>
        </w:rPr>
        <w:t>Ketimpangan Relasi Kuasa dalam Pesantren</w:t>
      </w:r>
    </w:p>
    <w:p w14:paraId="7D69B8DF" w14:textId="77777777" w:rsidR="001531B4" w:rsidRPr="001531B4" w:rsidRDefault="001531B4" w:rsidP="001531B4">
      <w:r w:rsidRPr="001531B4">
        <w:t>Salah satu tantangan utama yang muncul berkaitan dengan struktur kekuasaan dalam beberapa pesantren yang sangat terpusat pada figur Kiai atau pengasuh. Dalam tradisi pesantren, Kiai memegang peran penting sebagai guru, panutan spiritual, bahkan sosok ayah bagi santri. Kepatuhan kepada Kiai, yang dianggap bagian dari ibadah, menjadi landasan utama dalam proses pembelajaran dan pembentukan karakter.</w:t>
      </w:r>
    </w:p>
    <w:p w14:paraId="5BE650D9" w14:textId="77777777" w:rsidR="001531B4" w:rsidRPr="001531B4" w:rsidRDefault="001531B4" w:rsidP="001531B4">
      <w:r w:rsidRPr="001531B4">
        <w:t>Namun, dalam beberapa kasus, bentuk ketaatan yang sangat kuat ini dapat menimbulkan ketimpangan relasi kuasa (power imbalance). Kiai, ustadz, atau senior santri yang berperan dalam pengelolaan pesantren memiliki otoritas yang kadang sulit ditolak oleh santri, yang menempatkan mereka pada posisi rentan.</w:t>
      </w:r>
    </w:p>
    <w:p w14:paraId="2DB88F31" w14:textId="77777777" w:rsidR="001531B4" w:rsidRPr="001531B4" w:rsidRDefault="001531B4" w:rsidP="001531B4">
      <w:r w:rsidRPr="001531B4">
        <w:t>Ketika ketimpangan ini disalahgunakan oleh oknum tertentu, lingkungan pesantren yang seharusnya aman dan penuh keberkahan bisa berubah menjadi tempat terjadinya kekerasan fisik maupun pelecehan seksual. Korban yang berada pada posisi lemah sering kali menghadapi dilema berat: menolak berarti mempertaruhkan hubungan dengan guru dan risiko kehilangan kesempatan belajar, sementara diam berarti menanggung beban trauma sendiri.</w:t>
      </w:r>
    </w:p>
    <w:p w14:paraId="1C5A1608" w14:textId="77777777" w:rsidR="001531B4" w:rsidRPr="001531B4" w:rsidRDefault="001531B4" w:rsidP="001531B4">
      <w:r w:rsidRPr="001531B4">
        <w:rPr>
          <w:b/>
          <w:bCs/>
        </w:rPr>
        <w:t>Interpretasi Ajaran Agama dan Budaya Pembungkaman</w:t>
      </w:r>
    </w:p>
    <w:p w14:paraId="470BF278" w14:textId="77777777" w:rsidR="001531B4" w:rsidRPr="001531B4" w:rsidRDefault="001531B4" w:rsidP="001531B4">
      <w:r w:rsidRPr="001531B4">
        <w:t>Fenomena beberapa korban yang tampak menerima perlakuan tidak adil tidak terjadi begitu saja, melainkan dipengaruhi oleh pemahaman ajaran agama yang kadang diinterpretasikan secara dogmatis. Meskipun Islam secara tegas menolak segala bentuk kekerasan, terdapat pemahaman yang keliru dan manipulasi konsep-konsep keagamaan yang dapat membungkam suara korban.</w:t>
      </w:r>
    </w:p>
    <w:p w14:paraId="3061BCF6" w14:textId="77777777" w:rsidR="001531B4" w:rsidRPr="001531B4" w:rsidRDefault="001531B4" w:rsidP="001531B4">
      <w:r w:rsidRPr="001531B4">
        <w:t>Salah satu contoh nyata adalah pemahaman tentang barokah. Dalam banyak pesantren, barokah dianggap sebagai keberkahan yang melekat pada ilmu dan guru. Santri didoktrin bahwa membuka “aib” guru atau lembaga bisa menghilangkan barokah tersebut, sehingga menimbulkan rasa takut dan kesunyian di antara korban. Mereka memilih untuk menyimpan trauma demi menjaga keberkahan ilmu yang sedang mereka raih.</w:t>
      </w:r>
    </w:p>
    <w:p w14:paraId="309AFB44" w14:textId="77777777" w:rsidR="001531B4" w:rsidRPr="001531B4" w:rsidRDefault="001531B4" w:rsidP="001531B4">
      <w:r w:rsidRPr="001531B4">
        <w:lastRenderedPageBreak/>
        <w:t>Selain itu, budaya menjaga nama baik pesantren dan figur Kiai membuat penyelesaian kasus sering dilakukan secara internal dan kekeluargaan. Hal ini dapat berujung pada penutupan kasus yang tidak transparan, sehingga pelaku tidak mendapat sanksi yang semestinya dan korban kurang mendapat perlindungan optimal.</w:t>
      </w:r>
    </w:p>
    <w:p w14:paraId="44A627A2" w14:textId="77777777" w:rsidR="001531B4" w:rsidRPr="001531B4" w:rsidRDefault="001531B4" w:rsidP="001531B4">
      <w:r w:rsidRPr="001531B4">
        <w:t>Dalam situasi yang lebih kompleks, terdapat pula oknum yang memutarbalikkan ajaran agama untuk membenarkan tindakan tidak pantas. Misalnya, perlakuan yang seharusnya dianggap pelecehan diklaim sebagai bentuk “bimbingan” atau “kehormatan,” memanfaatkan ketundukan dan keimanan santri untuk menutupi pelanggaran tersebut.</w:t>
      </w:r>
    </w:p>
    <w:p w14:paraId="354B5A14" w14:textId="77777777" w:rsidR="001531B4" w:rsidRPr="001531B4" w:rsidRDefault="001531B4" w:rsidP="001531B4">
      <w:r w:rsidRPr="001531B4">
        <w:rPr>
          <w:b/>
          <w:bCs/>
        </w:rPr>
        <w:t>Peran Teknologi dan Kesadaran Publik</w:t>
      </w:r>
    </w:p>
    <w:p w14:paraId="26CB7E25" w14:textId="77777777" w:rsidR="001531B4" w:rsidRPr="001531B4" w:rsidRDefault="001531B4" w:rsidP="001531B4">
      <w:r w:rsidRPr="001531B4">
        <w:t>Jika ketimpangan ini telah berlangsung lama, mengapa kasus-kasus ini baru ramai diperbincangkan sekarang? Jawabannya terletak pada perubahan zaman dan keterbukaan informasi.</w:t>
      </w:r>
    </w:p>
    <w:p w14:paraId="67B312DA" w14:textId="77777777" w:rsidR="001531B4" w:rsidRPr="001531B4" w:rsidRDefault="001531B4" w:rsidP="001531B4">
      <w:r w:rsidRPr="001531B4">
        <w:t>Teknologi dan media sosial telah memberikan ruang bagi korban untuk menyuarakan pengalaman mereka di luar jalur resmi pesantren. Unggahan video dan cerita yang viral memaksa masyarakat luas dan aparat penegak hukum memperhatikan masalah ini secara serius. Selain itu, meningkatnya kesadaran publik tentang hak-hak anak dan kesetaraan gender turut mendorong aktivisme yang menuntut penegakan keadilan di lembaga pendidikan, termasuk pesantren.</w:t>
      </w:r>
    </w:p>
    <w:p w14:paraId="5BE724FD" w14:textId="77777777" w:rsidR="001531B4" w:rsidRPr="001531B4" w:rsidRDefault="001531B4" w:rsidP="001531B4">
      <w:r w:rsidRPr="001531B4">
        <w:t>Transformasi perspektif masyarakat terhadap keadilan dan hak asasi manusia juga membuat publik menolak keras segala bentuk kekerasan, apalagi jika pelaku adalah figur yang selama ini dihormati. Keberanian santri dan alumni untuk angkat suara menunjukkan bahwa pencarian keadilan lebih utama daripada menjaga citra semu.</w:t>
      </w:r>
    </w:p>
    <w:p w14:paraId="4D82D80C" w14:textId="77777777" w:rsidR="001531B4" w:rsidRPr="001531B4" w:rsidRDefault="001531B4" w:rsidP="001531B4">
      <w:r w:rsidRPr="001531B4">
        <w:rPr>
          <w:b/>
          <w:bCs/>
        </w:rPr>
        <w:t>Menuju Reformasi dan Perlindungan Santri</w:t>
      </w:r>
    </w:p>
    <w:p w14:paraId="2FA731E8" w14:textId="77777777" w:rsidR="001531B4" w:rsidRPr="001531B4" w:rsidRDefault="001531B4" w:rsidP="001531B4">
      <w:r w:rsidRPr="001531B4">
        <w:t>Kasus-kasus ini merupakan panggilan penting bagi seluruh pemangku kepentingan, termasuk pengelola pesantren, pemerintah, ulama, dan masyarakat luas. Untuk menjaga dan mengembalikan marwah pesantren sebagai institusi pendidikan yang bermartabat dan aman, diperlukan reformasi menyeluruh.</w:t>
      </w:r>
    </w:p>
    <w:p w14:paraId="3C325A30" w14:textId="77777777" w:rsidR="001531B4" w:rsidRPr="001531B4" w:rsidRDefault="001531B4" w:rsidP="001531B4">
      <w:r w:rsidRPr="001531B4">
        <w:t>Langkah awal yang krusial adalah penetapan mekanisme pengawasan internal yang transparan dan akuntabel. Selain itu, pelatihan bagi para pengasuh dan pengelola pesantren mengenai disiplin positif, hak asasi anak, dan isu kekerasan seksual harus menjadi kewajiban. Penguatan perlindungan dan hak-hak santri juga harus diprioritaskan agar mereka dapat belajar dalam suasana yang nyaman dan bermartabat.</w:t>
      </w:r>
    </w:p>
    <w:p w14:paraId="72BAB329" w14:textId="77777777" w:rsidR="001531B4" w:rsidRPr="001531B4" w:rsidRDefault="001531B4" w:rsidP="001531B4">
      <w:r w:rsidRPr="001531B4">
        <w:t>Ketaatan spiritual harus berjalan seiring dengan akuntabilitas hukum dan moral. Keberkahan ilmu tidak boleh dijadikan alasan untuk menutupi atau membela tindakan yang merugikan santri. Sebaliknya, pesantren perlu menegakkan nilai-nilai keadilan yang sesungguhnya, menjadikan institusi ini tidak hanya sebagai tempat pembelajaran agama, tetapi juga sebagai ruang yang melindungi hak-hak setiap insan yang belajar di dalamnya.</w:t>
      </w:r>
    </w:p>
    <w:p w14:paraId="7F780FEC" w14:textId="77777777" w:rsidR="001531B4" w:rsidRPr="001531B4" w:rsidRDefault="001531B4" w:rsidP="001531B4">
      <w:r w:rsidRPr="001531B4">
        <w:rPr>
          <w:b/>
          <w:bCs/>
        </w:rPr>
        <w:t>Pesantren: Pilar Pendidikan dan Spiritualitas</w:t>
      </w:r>
    </w:p>
    <w:p w14:paraId="3C07BD75" w14:textId="77777777" w:rsidR="001531B4" w:rsidRPr="001531B4" w:rsidRDefault="001531B4" w:rsidP="001531B4">
      <w:r w:rsidRPr="001531B4">
        <w:t xml:space="preserve">Penting untuk diingat bahwa sebagian besar pesantren tetap menjadi tempat yang aman dan penuh keberkahan bagi santri. Banyak pesantren yang berhasil mempertahankan tradisi pendidikan yang kuat, penuh kasih sayang, dan menjunjung tinggi nilai-nilai keadilan. Kritik dan analisis ini bukan bertujuan </w:t>
      </w:r>
      <w:r w:rsidRPr="001531B4">
        <w:lastRenderedPageBreak/>
        <w:t>untuk menggeneralisasi atau merendahkan peran penting pesantren, melainkan untuk mendorong perbaikan dan perlindungan yang lebih baik.</w:t>
      </w:r>
    </w:p>
    <w:p w14:paraId="0FFBFA90" w14:textId="77777777" w:rsidR="001531B4" w:rsidRPr="001531B4" w:rsidRDefault="001531B4" w:rsidP="001531B4">
      <w:r w:rsidRPr="001531B4">
        <w:t>Dengan komitmen bersama dan kesadaran yang meningkat, pesantren dapat terus bertransformasi menjadi institusi yang lebih terbuka, transparan, dan menjunjung tinggi hak-hak santri tanpa mengurangi kekuatan spiritualnya. Hanya dengan demikian, pesantren dapat tetap menjadi sumber keberkahan dan tempat pembentukan karakter yang ideal bagi generasi mendatang.</w:t>
      </w:r>
    </w:p>
    <w:p w14:paraId="69412AB2" w14:textId="77777777" w:rsidR="001531B4" w:rsidRDefault="001531B4"/>
    <w:sectPr w:rsidR="00153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C4B29"/>
    <w:multiLevelType w:val="multilevel"/>
    <w:tmpl w:val="5F1AF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A74C8B"/>
    <w:multiLevelType w:val="multilevel"/>
    <w:tmpl w:val="5F1AF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469480">
    <w:abstractNumId w:val="1"/>
  </w:num>
  <w:num w:numId="2" w16cid:durableId="530529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07"/>
    <w:rsid w:val="00035DA3"/>
    <w:rsid w:val="000E6B8F"/>
    <w:rsid w:val="00141FF7"/>
    <w:rsid w:val="001531B4"/>
    <w:rsid w:val="00271407"/>
    <w:rsid w:val="00402BF4"/>
    <w:rsid w:val="004404B4"/>
    <w:rsid w:val="00BE4A76"/>
    <w:rsid w:val="00E55C7B"/>
    <w:rsid w:val="00F242B3"/>
    <w:rsid w:val="00FA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6683"/>
  <w15:chartTrackingRefBased/>
  <w15:docId w15:val="{73F055E6-1855-4BD1-A4EE-F45DF392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059325">
      <w:bodyDiv w:val="1"/>
      <w:marLeft w:val="0"/>
      <w:marRight w:val="0"/>
      <w:marTop w:val="0"/>
      <w:marBottom w:val="0"/>
      <w:divBdr>
        <w:top w:val="none" w:sz="0" w:space="0" w:color="auto"/>
        <w:left w:val="none" w:sz="0" w:space="0" w:color="auto"/>
        <w:bottom w:val="none" w:sz="0" w:space="0" w:color="auto"/>
        <w:right w:val="none" w:sz="0" w:space="0" w:color="auto"/>
      </w:divBdr>
    </w:div>
    <w:div w:id="516820446">
      <w:bodyDiv w:val="1"/>
      <w:marLeft w:val="0"/>
      <w:marRight w:val="0"/>
      <w:marTop w:val="0"/>
      <w:marBottom w:val="0"/>
      <w:divBdr>
        <w:top w:val="none" w:sz="0" w:space="0" w:color="auto"/>
        <w:left w:val="none" w:sz="0" w:space="0" w:color="auto"/>
        <w:bottom w:val="none" w:sz="0" w:space="0" w:color="auto"/>
        <w:right w:val="none" w:sz="0" w:space="0" w:color="auto"/>
      </w:divBdr>
    </w:div>
    <w:div w:id="542060953">
      <w:bodyDiv w:val="1"/>
      <w:marLeft w:val="0"/>
      <w:marRight w:val="0"/>
      <w:marTop w:val="0"/>
      <w:marBottom w:val="0"/>
      <w:divBdr>
        <w:top w:val="none" w:sz="0" w:space="0" w:color="auto"/>
        <w:left w:val="none" w:sz="0" w:space="0" w:color="auto"/>
        <w:bottom w:val="none" w:sz="0" w:space="0" w:color="auto"/>
        <w:right w:val="none" w:sz="0" w:space="0" w:color="auto"/>
      </w:divBdr>
    </w:div>
    <w:div w:id="558133044">
      <w:bodyDiv w:val="1"/>
      <w:marLeft w:val="0"/>
      <w:marRight w:val="0"/>
      <w:marTop w:val="0"/>
      <w:marBottom w:val="0"/>
      <w:divBdr>
        <w:top w:val="none" w:sz="0" w:space="0" w:color="auto"/>
        <w:left w:val="none" w:sz="0" w:space="0" w:color="auto"/>
        <w:bottom w:val="none" w:sz="0" w:space="0" w:color="auto"/>
        <w:right w:val="none" w:sz="0" w:space="0" w:color="auto"/>
      </w:divBdr>
    </w:div>
    <w:div w:id="558445994">
      <w:bodyDiv w:val="1"/>
      <w:marLeft w:val="0"/>
      <w:marRight w:val="0"/>
      <w:marTop w:val="0"/>
      <w:marBottom w:val="0"/>
      <w:divBdr>
        <w:top w:val="none" w:sz="0" w:space="0" w:color="auto"/>
        <w:left w:val="none" w:sz="0" w:space="0" w:color="auto"/>
        <w:bottom w:val="none" w:sz="0" w:space="0" w:color="auto"/>
        <w:right w:val="none" w:sz="0" w:space="0" w:color="auto"/>
      </w:divBdr>
    </w:div>
    <w:div w:id="1004864788">
      <w:bodyDiv w:val="1"/>
      <w:marLeft w:val="0"/>
      <w:marRight w:val="0"/>
      <w:marTop w:val="0"/>
      <w:marBottom w:val="0"/>
      <w:divBdr>
        <w:top w:val="none" w:sz="0" w:space="0" w:color="auto"/>
        <w:left w:val="none" w:sz="0" w:space="0" w:color="auto"/>
        <w:bottom w:val="none" w:sz="0" w:space="0" w:color="auto"/>
        <w:right w:val="none" w:sz="0" w:space="0" w:color="auto"/>
      </w:divBdr>
    </w:div>
    <w:div w:id="1149980533">
      <w:bodyDiv w:val="1"/>
      <w:marLeft w:val="0"/>
      <w:marRight w:val="0"/>
      <w:marTop w:val="0"/>
      <w:marBottom w:val="0"/>
      <w:divBdr>
        <w:top w:val="none" w:sz="0" w:space="0" w:color="auto"/>
        <w:left w:val="none" w:sz="0" w:space="0" w:color="auto"/>
        <w:bottom w:val="none" w:sz="0" w:space="0" w:color="auto"/>
        <w:right w:val="none" w:sz="0" w:space="0" w:color="auto"/>
      </w:divBdr>
    </w:div>
    <w:div w:id="1422024645">
      <w:bodyDiv w:val="1"/>
      <w:marLeft w:val="0"/>
      <w:marRight w:val="0"/>
      <w:marTop w:val="0"/>
      <w:marBottom w:val="0"/>
      <w:divBdr>
        <w:top w:val="none" w:sz="0" w:space="0" w:color="auto"/>
        <w:left w:val="none" w:sz="0" w:space="0" w:color="auto"/>
        <w:bottom w:val="none" w:sz="0" w:space="0" w:color="auto"/>
        <w:right w:val="none" w:sz="0" w:space="0" w:color="auto"/>
      </w:divBdr>
    </w:div>
    <w:div w:id="1882816406">
      <w:bodyDiv w:val="1"/>
      <w:marLeft w:val="0"/>
      <w:marRight w:val="0"/>
      <w:marTop w:val="0"/>
      <w:marBottom w:val="0"/>
      <w:divBdr>
        <w:top w:val="none" w:sz="0" w:space="0" w:color="auto"/>
        <w:left w:val="none" w:sz="0" w:space="0" w:color="auto"/>
        <w:bottom w:val="none" w:sz="0" w:space="0" w:color="auto"/>
        <w:right w:val="none" w:sz="0" w:space="0" w:color="auto"/>
      </w:divBdr>
    </w:div>
    <w:div w:id="212345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2025-10-17T08:45:00Z</dcterms:created>
  <dcterms:modified xsi:type="dcterms:W3CDTF">2025-10-17T09:19:00Z</dcterms:modified>
</cp:coreProperties>
</file>